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61FF" w:rsidRDefault="00CA61FF">
      <w:pPr>
        <w:tabs>
          <w:tab w:val="right" w:pos="9360"/>
        </w:tabs>
        <w:rPr>
          <w:sz w:val="18"/>
          <w:szCs w:val="18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ab/>
      </w:r>
      <w:r>
        <w:rPr>
          <w:sz w:val="18"/>
          <w:szCs w:val="18"/>
        </w:rPr>
        <w:t>K.S.A. 60-1103b</w:t>
      </w:r>
    </w:p>
    <w:p w:rsidR="00CA61FF" w:rsidRDefault="00CA61FF">
      <w:pPr>
        <w:tabs>
          <w:tab w:val="right" w:pos="9360"/>
        </w:tabs>
      </w:pPr>
      <w:r>
        <w:rPr>
          <w:sz w:val="18"/>
          <w:szCs w:val="18"/>
        </w:rPr>
        <w:tab/>
        <w:t>Notice of Intent to Perform</w:t>
      </w:r>
    </w:p>
    <w:p w:rsidR="00CA61FF" w:rsidRDefault="00CA61FF">
      <w:pPr>
        <w:tabs>
          <w:tab w:val="right" w:pos="9360"/>
        </w:tabs>
      </w:pPr>
      <w:r>
        <w:tab/>
      </w:r>
      <w:r>
        <w:rPr>
          <w:sz w:val="18"/>
          <w:szCs w:val="18"/>
        </w:rPr>
        <w:t>(7/1/05)</w:t>
      </w:r>
    </w:p>
    <w:p w:rsidR="00CA61FF" w:rsidRDefault="00CA61FF">
      <w:pPr>
        <w:rPr>
          <w:rFonts w:ascii="Arial" w:hAnsi="Arial" w:cs="Arial"/>
        </w:rPr>
      </w:pPr>
    </w:p>
    <w:p w:rsidR="00CA61FF" w:rsidRDefault="00CA61FF">
      <w:pPr>
        <w:rPr>
          <w:rFonts w:ascii="Arial" w:hAnsi="Arial" w:cs="Arial"/>
          <w:b/>
          <w:bCs/>
        </w:rPr>
      </w:pPr>
    </w:p>
    <w:p w:rsidR="00CA61FF" w:rsidRDefault="00CA61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NOTICE OF INTENT TO PERFORM</w:t>
      </w:r>
    </w:p>
    <w:p w:rsidR="00CA61FF" w:rsidRDefault="00CA61FF">
      <w:pPr>
        <w:jc w:val="both"/>
        <w:rPr>
          <w:rFonts w:ascii="Arial" w:hAnsi="Arial" w:cs="Arial"/>
          <w:b/>
          <w:bCs/>
        </w:rPr>
      </w:pPr>
    </w:p>
    <w:p w:rsidR="00CA61FF" w:rsidRDefault="00CA61FF">
      <w:pPr>
        <w:jc w:val="both"/>
        <w:rPr>
          <w:rFonts w:ascii="Arial" w:hAnsi="Arial" w:cs="Arial"/>
          <w:b/>
          <w:bCs/>
        </w:rPr>
      </w:pPr>
    </w:p>
    <w:p w:rsidR="00CA61FF" w:rsidRDefault="00CA61FF">
      <w:pPr>
        <w:spacing w:line="43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I,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(name of supplier, subcontractor or contractor)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  <w:t>(address of supplier, subcontractor or contractor)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</w:p>
    <w:p w:rsidR="00CA61FF" w:rsidRDefault="00CA61FF">
      <w:pPr>
        <w:spacing w:line="43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hereby give public notice that I am a supplier, subcontractor or contractor or other person providing materials or labor on property owned by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  <w:t>(name of property owner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</w:rPr>
        <w:t xml:space="preserve"> and having the legal description as follows:</w:t>
      </w:r>
    </w:p>
    <w:p w:rsidR="00CA61FF" w:rsidRDefault="00CA61FF">
      <w:pPr>
        <w:spacing w:line="432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CA61FF" w:rsidRDefault="00CA61FF">
      <w:pPr>
        <w:spacing w:line="43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  <w:t>(Legal description of property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</w:p>
    <w:p w:rsidR="00CA61FF" w:rsidRDefault="00CA61FF">
      <w:pPr>
        <w:spacing w:line="432" w:lineRule="auto"/>
        <w:jc w:val="both"/>
        <w:rPr>
          <w:rFonts w:ascii="Arial" w:hAnsi="Arial" w:cs="Arial"/>
          <w:b/>
          <w:bCs/>
        </w:rPr>
      </w:pPr>
    </w:p>
    <w:p w:rsidR="00CA61FF" w:rsidRDefault="00CA61FF">
      <w:pPr>
        <w:spacing w:line="432" w:lineRule="auto"/>
        <w:jc w:val="both"/>
        <w:rPr>
          <w:rFonts w:ascii="Arial" w:hAnsi="Arial" w:cs="Arial"/>
          <w:b/>
          <w:bCs/>
        </w:rPr>
      </w:pPr>
    </w:p>
    <w:p w:rsidR="00CA61FF" w:rsidRDefault="00CA61FF">
      <w:pPr>
        <w:spacing w:line="432" w:lineRule="auto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CA61FF" w:rsidRDefault="00CA61FF">
      <w:pPr>
        <w:spacing w:line="432" w:lineRule="auto"/>
        <w:jc w:val="both"/>
        <w:rPr>
          <w:sz w:val="21"/>
          <w:szCs w:val="21"/>
        </w:rPr>
      </w:pPr>
    </w:p>
    <w:p w:rsidR="00CA61FF" w:rsidRDefault="00CA61FF">
      <w:pPr>
        <w:spacing w:line="432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  <w:t>K.S.A. 60-1103b</w:t>
      </w:r>
    </w:p>
    <w:p w:rsidR="00CA61FF" w:rsidRDefault="00CA61FF">
      <w:pPr>
        <w:spacing w:line="432" w:lineRule="auto"/>
        <w:jc w:val="both"/>
        <w:rPr>
          <w:sz w:val="21"/>
          <w:szCs w:val="21"/>
        </w:rPr>
      </w:pPr>
    </w:p>
    <w:p w:rsidR="00CA61FF" w:rsidRDefault="00CA61FF">
      <w:pPr>
        <w:spacing w:line="432" w:lineRule="auto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Notes on Use</w:t>
      </w:r>
    </w:p>
    <w:p w:rsidR="00CA61FF" w:rsidRDefault="00CA61FF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The notice of intent to perform provided for in K.S.A. 60-1103b is limited to “new residential property” which is defined as “a new structure which is constructed for use as a residence and which is not used or intended for use as a residence for more than two families or for commercial purposes.  ‘New residential property’ does not include any improvement of a preexisting structure or construction of any addition, garage or outbuilding appurtenant to a preexisting structure.”  K.S.A. 60-1103b(a).</w:t>
      </w:r>
    </w:p>
    <w:p w:rsidR="00CA61FF" w:rsidRDefault="00CA61FF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The lien for furnishing labor, equipment, materials or supplies for the construction of new residential property may be claimed pursuant to K.S.A. 60-1103 after the passage of title to such new residential property to a good faith purchaser for value only if the claimant has filed a notice of intent to perform prior to the recording of the deed effecting passage of title to such new residential property.  K.S.A. 60-1103b(b).</w:t>
      </w:r>
    </w:p>
    <w:p w:rsidR="00CA61FF" w:rsidRDefault="00CA61FF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:rsidR="00CA61FF" w:rsidRDefault="00CA61FF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Comments</w:t>
      </w:r>
    </w:p>
    <w:p w:rsidR="00CA61FF" w:rsidRDefault="00CA61FF">
      <w:pPr>
        <w:jc w:val="both"/>
        <w:rPr>
          <w:sz w:val="21"/>
          <w:szCs w:val="21"/>
        </w:rPr>
      </w:pPr>
    </w:p>
    <w:p w:rsidR="00CA61FF" w:rsidRDefault="00CA61FF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For history of the litigation giving rise to this provision, see </w:t>
      </w:r>
      <w:r>
        <w:rPr>
          <w:i/>
          <w:iCs/>
          <w:sz w:val="21"/>
          <w:szCs w:val="21"/>
        </w:rPr>
        <w:t>Owen Lumber Co. v. Arthur Chartrand</w:t>
      </w:r>
      <w:r>
        <w:rPr>
          <w:sz w:val="21"/>
          <w:szCs w:val="21"/>
        </w:rPr>
        <w:t xml:space="preserve">, 27 Kan.App.2d 72, 998 P.2d 509, </w:t>
      </w:r>
      <w:r>
        <w:rPr>
          <w:i/>
          <w:iCs/>
          <w:sz w:val="21"/>
          <w:szCs w:val="21"/>
        </w:rPr>
        <w:t>judgment aff’d,</w:t>
      </w:r>
      <w:r>
        <w:rPr>
          <w:sz w:val="21"/>
          <w:szCs w:val="21"/>
        </w:rPr>
        <w:t xml:space="preserve"> 270 Kan. 215, 14 P.3d 395 (2000) and </w:t>
      </w:r>
      <w:r>
        <w:rPr>
          <w:i/>
          <w:iCs/>
          <w:sz w:val="21"/>
          <w:szCs w:val="21"/>
        </w:rPr>
        <w:t>Owen Lumber Co. v. Chartrand</w:t>
      </w:r>
      <w:r>
        <w:rPr>
          <w:sz w:val="21"/>
          <w:szCs w:val="21"/>
        </w:rPr>
        <w:t>, 276 Kan. 218, 73 P.3d 753 (2003).</w:t>
      </w:r>
    </w:p>
    <w:p w:rsidR="00CA61FF" w:rsidRDefault="00CA61FF">
      <w:pPr>
        <w:jc w:val="both"/>
      </w:pPr>
      <w:r>
        <w:rPr>
          <w:sz w:val="21"/>
          <w:szCs w:val="21"/>
        </w:rPr>
        <w:tab/>
      </w:r>
    </w:p>
    <w:sectPr w:rsidR="00CA61F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29"/>
    <w:rsid w:val="00BF2AB9"/>
    <w:rsid w:val="00CA61FF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8" w:space="2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color w:val="000080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8" w:space="2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80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Kline</dc:creator>
  <cp:lastModifiedBy>Laura Nordgren</cp:lastModifiedBy>
  <cp:revision>2</cp:revision>
  <dcterms:created xsi:type="dcterms:W3CDTF">2017-10-27T16:16:00Z</dcterms:created>
  <dcterms:modified xsi:type="dcterms:W3CDTF">2017-10-27T16:16:00Z</dcterms:modified>
</cp:coreProperties>
</file>