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BB" w:rsidRDefault="004320BB">
      <w:pPr>
        <w:jc w:val="center"/>
        <w:rPr>
          <w:sz w:val="24"/>
          <w:szCs w:val="24"/>
        </w:rPr>
      </w:pPr>
      <w:bookmarkStart w:id="0" w:name="_GoBack"/>
      <w:bookmarkEnd w:id="0"/>
      <w:r>
        <w:rPr>
          <w:sz w:val="24"/>
          <w:szCs w:val="24"/>
        </w:rPr>
        <w:t>328</w:t>
      </w:r>
    </w:p>
    <w:p w:rsidR="004320BB" w:rsidRDefault="004320BB">
      <w:pPr>
        <w:jc w:val="center"/>
        <w:rPr>
          <w:sz w:val="24"/>
          <w:szCs w:val="24"/>
        </w:rPr>
      </w:pPr>
    </w:p>
    <w:p w:rsidR="004320BB" w:rsidRDefault="004320BB">
      <w:pPr>
        <w:jc w:val="center"/>
        <w:rPr>
          <w:b/>
          <w:bCs/>
          <w:sz w:val="24"/>
          <w:szCs w:val="24"/>
        </w:rPr>
      </w:pPr>
      <w:r>
        <w:rPr>
          <w:b/>
          <w:bCs/>
          <w:sz w:val="24"/>
          <w:szCs w:val="24"/>
        </w:rPr>
        <w:t>IN THE DISTRICT COURT OF __________________ COUNTY, KANSAS</w:t>
      </w:r>
      <w:r>
        <w:rPr>
          <w:b/>
          <w:bCs/>
          <w:sz w:val="24"/>
          <w:szCs w:val="24"/>
        </w:rPr>
        <w:br/>
      </w:r>
    </w:p>
    <w:p w:rsidR="000D5007" w:rsidRDefault="004320BB">
      <w:pPr>
        <w:pStyle w:val="BodyText2"/>
      </w:pPr>
      <w:r>
        <w:t>IN THE MATTER OF</w:t>
      </w:r>
      <w:r>
        <w:br/>
      </w:r>
      <w:r>
        <w:br/>
      </w:r>
    </w:p>
    <w:p w:rsidR="004320BB" w:rsidRDefault="004320BB">
      <w:pPr>
        <w:pStyle w:val="BodyText2"/>
      </w:pPr>
      <w:r>
        <w:t>Name_________________________, Juvenile</w:t>
      </w:r>
      <w:r>
        <w:tab/>
      </w:r>
      <w:r>
        <w:tab/>
      </w:r>
      <w:r>
        <w:tab/>
        <w:t>Case No. _____________</w:t>
      </w:r>
    </w:p>
    <w:p w:rsidR="004320BB" w:rsidRDefault="00D2346F">
      <w:pPr>
        <w:rPr>
          <w:b/>
          <w:bCs/>
          <w:sz w:val="24"/>
          <w:szCs w:val="24"/>
        </w:rPr>
      </w:pPr>
      <w:r>
        <w:rPr>
          <w:b/>
          <w:bCs/>
          <w:sz w:val="24"/>
          <w:szCs w:val="24"/>
        </w:rPr>
        <w:t>Year of Birth</w:t>
      </w:r>
      <w:r w:rsidR="004320BB">
        <w:rPr>
          <w:b/>
          <w:bCs/>
          <w:sz w:val="24"/>
          <w:szCs w:val="24"/>
        </w:rPr>
        <w:t xml:space="preserve"> ____</w:t>
      </w:r>
      <w:r>
        <w:rPr>
          <w:b/>
          <w:bCs/>
          <w:sz w:val="24"/>
          <w:szCs w:val="24"/>
        </w:rPr>
        <w:t xml:space="preserve">_____  </w:t>
      </w:r>
      <w:r w:rsidR="004320BB">
        <w:rPr>
          <w:b/>
          <w:bCs/>
          <w:sz w:val="24"/>
          <w:szCs w:val="24"/>
        </w:rPr>
        <w:t xml:space="preserve"> </w:t>
      </w:r>
      <w:proofErr w:type="gramStart"/>
      <w:r w:rsidR="004320BB">
        <w:rPr>
          <w:b/>
          <w:bCs/>
          <w:sz w:val="24"/>
          <w:szCs w:val="24"/>
        </w:rPr>
        <w:t>A  □</w:t>
      </w:r>
      <w:proofErr w:type="gramEnd"/>
      <w:r w:rsidR="004320BB">
        <w:rPr>
          <w:b/>
          <w:bCs/>
          <w:sz w:val="24"/>
          <w:szCs w:val="24"/>
        </w:rPr>
        <w:t xml:space="preserve"> male  □ female</w:t>
      </w:r>
    </w:p>
    <w:p w:rsidR="000D5007" w:rsidRDefault="000D5007">
      <w:pPr>
        <w:rPr>
          <w:b/>
          <w:bCs/>
          <w:sz w:val="24"/>
          <w:szCs w:val="24"/>
        </w:rPr>
      </w:pPr>
    </w:p>
    <w:p w:rsidR="004320BB" w:rsidRDefault="004320BB">
      <w:pPr>
        <w:rPr>
          <w:b/>
          <w:bCs/>
          <w:sz w:val="24"/>
          <w:szCs w:val="24"/>
        </w:rPr>
      </w:pPr>
    </w:p>
    <w:p w:rsidR="004320BB" w:rsidRDefault="004320BB">
      <w:pPr>
        <w:pStyle w:val="Heading1"/>
        <w:tabs>
          <w:tab w:val="left" w:pos="720"/>
        </w:tabs>
      </w:pPr>
      <w:r>
        <w:rPr>
          <w:u w:val="single"/>
        </w:rPr>
        <w:t>MOTION TO AUTHORIZE PROSECUTION AS AN ADULT</w:t>
      </w:r>
    </w:p>
    <w:p w:rsidR="004320BB" w:rsidRDefault="004320BB">
      <w:pPr>
        <w:jc w:val="center"/>
        <w:rPr>
          <w:sz w:val="24"/>
          <w:szCs w:val="24"/>
        </w:rPr>
      </w:pPr>
      <w:r>
        <w:rPr>
          <w:sz w:val="24"/>
          <w:szCs w:val="24"/>
        </w:rPr>
        <w:t>Pursuant to K.S.A. 38-2347</w:t>
      </w:r>
    </w:p>
    <w:p w:rsidR="004320BB" w:rsidRDefault="004320BB">
      <w:pPr>
        <w:jc w:val="center"/>
        <w:rPr>
          <w:sz w:val="24"/>
          <w:szCs w:val="24"/>
        </w:rPr>
      </w:pPr>
    </w:p>
    <w:p w:rsidR="004320BB" w:rsidRDefault="004320BB" w:rsidP="00F71864">
      <w:pPr>
        <w:jc w:val="both"/>
        <w:rPr>
          <w:sz w:val="24"/>
          <w:szCs w:val="24"/>
        </w:rPr>
      </w:pPr>
      <w:r>
        <w:tab/>
      </w:r>
      <w:r>
        <w:rPr>
          <w:sz w:val="24"/>
          <w:szCs w:val="24"/>
        </w:rPr>
        <w:t xml:space="preserve">Comes now the State of Kansas through the District/County Attorney or designee and moves the Court for an order authorizing prosecution of the juvenile named above as an adult.  </w:t>
      </w:r>
    </w:p>
    <w:p w:rsidR="000D5007" w:rsidRDefault="000D5007">
      <w:pPr>
        <w:jc w:val="center"/>
        <w:rPr>
          <w:sz w:val="24"/>
          <w:szCs w:val="24"/>
        </w:rPr>
      </w:pPr>
    </w:p>
    <w:p w:rsidR="004320BB" w:rsidRDefault="004320BB">
      <w:pPr>
        <w:rPr>
          <w:sz w:val="24"/>
          <w:szCs w:val="24"/>
        </w:rPr>
      </w:pPr>
      <w:r w:rsidRPr="00D73908">
        <w:rPr>
          <w:sz w:val="24"/>
          <w:szCs w:val="24"/>
        </w:rPr>
        <w:t>Prosecution of the juvenile as an adult is justified by the offense charged in the complaint, the characteristics of the juvenile and the circumstances of the alleged offense as follows: (</w:t>
      </w:r>
      <w:r w:rsidRPr="00D73908">
        <w:rPr>
          <w:i/>
          <w:iCs/>
          <w:sz w:val="24"/>
          <w:szCs w:val="24"/>
        </w:rPr>
        <w:t>Enumerate bases for request.</w:t>
      </w:r>
      <w:r w:rsidRPr="00D73908">
        <w:rPr>
          <w:sz w:val="24"/>
          <w:szCs w:val="24"/>
        </w:rPr>
        <w:t>)</w:t>
      </w:r>
    </w:p>
    <w:p w:rsidR="004320BB" w:rsidRDefault="004320BB">
      <w:pPr>
        <w:rPr>
          <w:sz w:val="24"/>
          <w:szCs w:val="24"/>
        </w:rPr>
      </w:pPr>
    </w:p>
    <w:p w:rsidR="00A4014B" w:rsidRDefault="00A4014B">
      <w:pPr>
        <w:rPr>
          <w:sz w:val="24"/>
          <w:szCs w:val="24"/>
        </w:rPr>
      </w:pPr>
    </w:p>
    <w:p w:rsidR="00274C1B" w:rsidRDefault="00274C1B">
      <w:pPr>
        <w:rPr>
          <w:sz w:val="24"/>
          <w:szCs w:val="24"/>
        </w:rPr>
      </w:pPr>
    </w:p>
    <w:p w:rsidR="00274C1B" w:rsidRDefault="00274C1B">
      <w:pPr>
        <w:rPr>
          <w:sz w:val="24"/>
          <w:szCs w:val="24"/>
        </w:rPr>
      </w:pPr>
    </w:p>
    <w:p w:rsidR="00274C1B" w:rsidRDefault="00274C1B">
      <w:pPr>
        <w:rPr>
          <w:sz w:val="24"/>
          <w:szCs w:val="24"/>
        </w:rPr>
      </w:pPr>
    </w:p>
    <w:p w:rsidR="004320BB" w:rsidRDefault="004320BB">
      <w:pPr>
        <w:rPr>
          <w:sz w:val="24"/>
          <w:szCs w:val="24"/>
        </w:rPr>
      </w:pPr>
      <w:r>
        <w:rPr>
          <w:sz w:val="24"/>
          <w:szCs w:val="24"/>
        </w:rPr>
        <w:tab/>
        <w:t>Wherefore the State requests the Court set the matter for hearing and authorize prosecution of the juvenile as an adult.</w:t>
      </w:r>
    </w:p>
    <w:p w:rsidR="004320BB" w:rsidRDefault="004320BB">
      <w:pPr>
        <w:rPr>
          <w:sz w:val="24"/>
          <w:szCs w:val="24"/>
        </w:rPr>
      </w:pPr>
    </w:p>
    <w:p w:rsidR="004320BB" w:rsidRDefault="004320BB">
      <w:pPr>
        <w:rPr>
          <w:sz w:val="24"/>
          <w:szCs w:val="24"/>
        </w:rPr>
      </w:pPr>
    </w:p>
    <w:p w:rsidR="004320BB" w:rsidRDefault="004320BB">
      <w:pPr>
        <w:rPr>
          <w:sz w:val="24"/>
          <w:szCs w:val="24"/>
        </w:rPr>
      </w:pPr>
    </w:p>
    <w:p w:rsidR="004320BB" w:rsidRDefault="004320BB">
      <w:pPr>
        <w:rPr>
          <w:sz w:val="24"/>
          <w:szCs w:val="24"/>
        </w:rPr>
      </w:pPr>
    </w:p>
    <w:p w:rsidR="004320BB" w:rsidRDefault="004320BB" w:rsidP="006562E4">
      <w:pPr>
        <w:ind w:left="3600" w:firstLine="720"/>
        <w:rPr>
          <w:sz w:val="24"/>
          <w:szCs w:val="24"/>
        </w:rPr>
      </w:pPr>
      <w:r>
        <w:rPr>
          <w:sz w:val="24"/>
          <w:szCs w:val="24"/>
        </w:rPr>
        <w:t>____________________________</w:t>
      </w:r>
    </w:p>
    <w:p w:rsidR="004320BB" w:rsidRDefault="006562E4">
      <w:pPr>
        <w:ind w:left="2880" w:hanging="2880"/>
        <w:rPr>
          <w:sz w:val="24"/>
          <w:szCs w:val="24"/>
        </w:rPr>
      </w:pPr>
      <w:r>
        <w:rPr>
          <w:sz w:val="24"/>
          <w:szCs w:val="24"/>
        </w:rPr>
        <w:tab/>
      </w:r>
      <w:r>
        <w:rPr>
          <w:sz w:val="24"/>
          <w:szCs w:val="24"/>
        </w:rPr>
        <w:tab/>
      </w:r>
      <w:r>
        <w:rPr>
          <w:sz w:val="24"/>
          <w:szCs w:val="24"/>
        </w:rPr>
        <w:tab/>
      </w:r>
      <w:r w:rsidR="004320BB">
        <w:rPr>
          <w:sz w:val="24"/>
          <w:szCs w:val="24"/>
        </w:rPr>
        <w:t>County/District Attorney or designee</w:t>
      </w:r>
    </w:p>
    <w:p w:rsidR="00CB450E" w:rsidRDefault="006562E4">
      <w:pPr>
        <w:ind w:left="2880" w:hanging="2880"/>
        <w:rPr>
          <w:sz w:val="24"/>
          <w:szCs w:val="24"/>
        </w:rPr>
      </w:pPr>
      <w:r>
        <w:rPr>
          <w:sz w:val="24"/>
          <w:szCs w:val="24"/>
        </w:rPr>
        <w:tab/>
      </w:r>
      <w:r>
        <w:rPr>
          <w:sz w:val="24"/>
          <w:szCs w:val="24"/>
        </w:rPr>
        <w:tab/>
      </w:r>
      <w:r>
        <w:rPr>
          <w:sz w:val="24"/>
          <w:szCs w:val="24"/>
        </w:rPr>
        <w:tab/>
      </w:r>
      <w:r w:rsidR="00CB450E">
        <w:rPr>
          <w:sz w:val="24"/>
          <w:szCs w:val="24"/>
        </w:rPr>
        <w:t>Name</w:t>
      </w:r>
    </w:p>
    <w:p w:rsidR="00CB450E" w:rsidRDefault="00CB450E" w:rsidP="00CB450E">
      <w:pPr>
        <w:numPr>
          <w:ilvl w:val="12"/>
          <w:numId w:val="0"/>
        </w:numPr>
        <w:tabs>
          <w:tab w:val="left" w:pos="0"/>
          <w:tab w:val="left" w:pos="720"/>
          <w:tab w:val="left" w:pos="900"/>
          <w:tab w:val="left" w:pos="2160"/>
          <w:tab w:val="left" w:pos="2700"/>
          <w:tab w:val="left" w:pos="432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Supreme Court Number</w:t>
      </w:r>
    </w:p>
    <w:p w:rsidR="00CB450E" w:rsidRDefault="00CB450E" w:rsidP="00F36D67">
      <w:pPr>
        <w:numPr>
          <w:ilvl w:val="12"/>
          <w:numId w:val="0"/>
        </w:numPr>
        <w:tabs>
          <w:tab w:val="left" w:pos="0"/>
          <w:tab w:val="left" w:pos="720"/>
          <w:tab w:val="left" w:pos="900"/>
          <w:tab w:val="left" w:pos="2160"/>
          <w:tab w:val="left" w:pos="2700"/>
          <w:tab w:val="left" w:pos="4320"/>
          <w:tab w:val="left" w:pos="576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Address</w:t>
      </w:r>
    </w:p>
    <w:p w:rsidR="00CB450E" w:rsidRDefault="00CB450E" w:rsidP="00CB450E">
      <w:pPr>
        <w:numPr>
          <w:ilvl w:val="12"/>
          <w:numId w:val="0"/>
        </w:numPr>
        <w:tabs>
          <w:tab w:val="left" w:pos="0"/>
          <w:tab w:val="left" w:pos="720"/>
          <w:tab w:val="left" w:pos="900"/>
          <w:tab w:val="left" w:pos="2160"/>
          <w:tab w:val="left" w:pos="2700"/>
          <w:tab w:val="left" w:pos="432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Telephone Number</w:t>
      </w:r>
    </w:p>
    <w:p w:rsidR="00CB450E" w:rsidRDefault="00CB450E" w:rsidP="00CB450E">
      <w:pPr>
        <w:numPr>
          <w:ilvl w:val="12"/>
          <w:numId w:val="0"/>
        </w:numPr>
        <w:tabs>
          <w:tab w:val="left" w:pos="0"/>
          <w:tab w:val="left" w:pos="720"/>
          <w:tab w:val="left" w:pos="900"/>
          <w:tab w:val="left" w:pos="2160"/>
          <w:tab w:val="left" w:pos="2700"/>
          <w:tab w:val="left" w:pos="432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[Fax Number]</w:t>
      </w:r>
    </w:p>
    <w:p w:rsidR="00CB450E" w:rsidRDefault="00CB450E" w:rsidP="00CB450E">
      <w:pPr>
        <w:numPr>
          <w:ilvl w:val="12"/>
          <w:numId w:val="0"/>
        </w:numPr>
        <w:tabs>
          <w:tab w:val="left" w:pos="0"/>
          <w:tab w:val="left" w:pos="720"/>
          <w:tab w:val="left" w:pos="900"/>
          <w:tab w:val="left" w:pos="2160"/>
          <w:tab w:val="left" w:pos="2700"/>
          <w:tab w:val="left" w:pos="4320"/>
          <w:tab w:val="right" w:leader="dot" w:pos="9270"/>
          <w:tab w:val="left" w:pos="9360"/>
        </w:tabs>
        <w:spacing w:line="283"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[E-mail Address]</w:t>
      </w:r>
    </w:p>
    <w:p w:rsidR="00CB450E" w:rsidRDefault="00CB450E" w:rsidP="00CB450E">
      <w:pPr>
        <w:numPr>
          <w:ilvl w:val="12"/>
          <w:numId w:val="0"/>
        </w:numPr>
        <w:jc w:val="center"/>
        <w:rPr>
          <w:sz w:val="24"/>
          <w:szCs w:val="24"/>
        </w:rPr>
      </w:pPr>
    </w:p>
    <w:p w:rsidR="00AA7CE1" w:rsidRDefault="00AA7CE1">
      <w:pPr>
        <w:widowControl/>
        <w:autoSpaceDE/>
        <w:autoSpaceDN/>
        <w:adjustRightInd/>
        <w:spacing w:after="200" w:line="276" w:lineRule="auto"/>
        <w:rPr>
          <w:sz w:val="24"/>
          <w:szCs w:val="24"/>
        </w:rPr>
      </w:pPr>
      <w:r>
        <w:rPr>
          <w:sz w:val="24"/>
          <w:szCs w:val="24"/>
        </w:rPr>
        <w:br w:type="page"/>
      </w:r>
    </w:p>
    <w:p w:rsidR="004320BB" w:rsidRDefault="004320BB">
      <w:pPr>
        <w:jc w:val="center"/>
        <w:rPr>
          <w:sz w:val="24"/>
          <w:szCs w:val="24"/>
        </w:rPr>
      </w:pPr>
      <w:r>
        <w:rPr>
          <w:sz w:val="24"/>
          <w:szCs w:val="24"/>
        </w:rPr>
        <w:lastRenderedPageBreak/>
        <w:t>Authority</w:t>
      </w:r>
    </w:p>
    <w:p w:rsidR="004320BB" w:rsidRDefault="004320BB">
      <w:pPr>
        <w:rPr>
          <w:sz w:val="24"/>
          <w:szCs w:val="24"/>
        </w:rPr>
      </w:pPr>
    </w:p>
    <w:p w:rsidR="004320BB" w:rsidRDefault="004320BB">
      <w:pPr>
        <w:rPr>
          <w:sz w:val="24"/>
          <w:szCs w:val="24"/>
        </w:rPr>
      </w:pPr>
      <w:r>
        <w:rPr>
          <w:sz w:val="24"/>
          <w:szCs w:val="24"/>
        </w:rPr>
        <w:t>K.S.A. 38-2347.</w:t>
      </w:r>
    </w:p>
    <w:p w:rsidR="004320BB" w:rsidRDefault="004320BB">
      <w:pPr>
        <w:rPr>
          <w:sz w:val="24"/>
          <w:szCs w:val="24"/>
        </w:rPr>
      </w:pPr>
    </w:p>
    <w:p w:rsidR="004320BB" w:rsidRDefault="004320BB">
      <w:pPr>
        <w:rPr>
          <w:sz w:val="24"/>
          <w:szCs w:val="24"/>
        </w:rPr>
      </w:pPr>
    </w:p>
    <w:p w:rsidR="004320BB" w:rsidRDefault="004320BB">
      <w:pPr>
        <w:jc w:val="center"/>
        <w:rPr>
          <w:sz w:val="24"/>
          <w:szCs w:val="24"/>
        </w:rPr>
      </w:pPr>
      <w:r>
        <w:rPr>
          <w:sz w:val="24"/>
          <w:szCs w:val="24"/>
        </w:rPr>
        <w:t>Notes on Use</w:t>
      </w:r>
    </w:p>
    <w:p w:rsidR="004320BB" w:rsidRDefault="004320BB">
      <w:pPr>
        <w:rPr>
          <w:sz w:val="24"/>
          <w:szCs w:val="24"/>
        </w:rPr>
      </w:pPr>
    </w:p>
    <w:p w:rsidR="004320BB" w:rsidRDefault="004320BB">
      <w:pPr>
        <w:jc w:val="both"/>
        <w:rPr>
          <w:sz w:val="24"/>
          <w:szCs w:val="24"/>
        </w:rPr>
      </w:pPr>
      <w:r>
        <w:rPr>
          <w:sz w:val="24"/>
          <w:szCs w:val="24"/>
        </w:rPr>
        <w:tab/>
        <w:t>K.S.A. 38-2347(a)(1) provides that the prosecutor may file a motion requesting that the court authorize prosecution of a juvenile as an adult, under the applicable criminal statute.  The motion may be made at any time after the commencement of proceedings, but prior to the beginning of</w:t>
      </w:r>
      <w:r w:rsidR="00D55CB2">
        <w:rPr>
          <w:sz w:val="24"/>
          <w:szCs w:val="24"/>
        </w:rPr>
        <w:t xml:space="preserve"> </w:t>
      </w:r>
      <w:r w:rsidR="00F2161B">
        <w:rPr>
          <w:sz w:val="24"/>
          <w:szCs w:val="24"/>
        </w:rPr>
        <w:t>an evidentiary hearing</w:t>
      </w:r>
      <w:r>
        <w:rPr>
          <w:sz w:val="24"/>
          <w:szCs w:val="24"/>
        </w:rPr>
        <w:t xml:space="preserve">. </w:t>
      </w:r>
      <w:r w:rsidR="00F71864">
        <w:rPr>
          <w:sz w:val="24"/>
          <w:szCs w:val="24"/>
        </w:rPr>
        <w:t xml:space="preserve">The juvenile is presumed to be a juvenile and the presumption must be rebutted by a preponderance of the evidence. </w:t>
      </w:r>
      <w:r>
        <w:rPr>
          <w:sz w:val="24"/>
          <w:szCs w:val="24"/>
        </w:rPr>
        <w:t xml:space="preserve">  If, after hearing, the court finds by a preponderance of the evidence, that the juvenile should be prosecuted as an adult, then the court shall direct that the juvenile be prosecuted under the applicable criminal statute and that the juvenile proceedings be dismissed.  K.S.A. 38-2347(</w:t>
      </w:r>
      <w:r w:rsidR="00F71864">
        <w:rPr>
          <w:sz w:val="24"/>
          <w:szCs w:val="24"/>
        </w:rPr>
        <w:t>e</w:t>
      </w:r>
      <w:proofErr w:type="gramStart"/>
      <w:r>
        <w:rPr>
          <w:sz w:val="24"/>
          <w:szCs w:val="24"/>
        </w:rPr>
        <w:t>)(</w:t>
      </w:r>
      <w:proofErr w:type="gramEnd"/>
      <w:r>
        <w:rPr>
          <w:sz w:val="24"/>
          <w:szCs w:val="24"/>
        </w:rPr>
        <w:t>1).  The court may</w:t>
      </w:r>
      <w:r w:rsidR="00D55CB2">
        <w:rPr>
          <w:sz w:val="24"/>
          <w:szCs w:val="24"/>
        </w:rPr>
        <w:t xml:space="preserve"> </w:t>
      </w:r>
      <w:r w:rsidR="008F395A">
        <w:rPr>
          <w:sz w:val="24"/>
          <w:szCs w:val="24"/>
        </w:rPr>
        <w:t xml:space="preserve">also </w:t>
      </w:r>
      <w:r w:rsidR="00DD4803" w:rsidRPr="00DD4803">
        <w:rPr>
          <w:color w:val="000000"/>
          <w:sz w:val="24"/>
          <w:szCs w:val="24"/>
        </w:rPr>
        <w:t>designate the proceeding as an extended jurisdiction juvenile prosecution upon completion of the hearing if the court finds from a preponderance of the evidence that the juvenile should be prosecuted under an extended jurisdiction juvenile prosecution.</w:t>
      </w:r>
      <w:r w:rsidR="00DD4803">
        <w:rPr>
          <w:rFonts w:ascii="Verdana" w:hAnsi="Verdana"/>
          <w:color w:val="000000"/>
          <w:sz w:val="19"/>
          <w:szCs w:val="19"/>
        </w:rPr>
        <w:t xml:space="preserve">  </w:t>
      </w:r>
      <w:r>
        <w:rPr>
          <w:sz w:val="24"/>
          <w:szCs w:val="24"/>
        </w:rPr>
        <w:t>K.S.A. 38-2347(</w:t>
      </w:r>
      <w:r w:rsidR="00F71864">
        <w:rPr>
          <w:sz w:val="24"/>
          <w:szCs w:val="24"/>
        </w:rPr>
        <w:t>e</w:t>
      </w:r>
      <w:proofErr w:type="gramStart"/>
      <w:r>
        <w:rPr>
          <w:sz w:val="24"/>
          <w:szCs w:val="24"/>
        </w:rPr>
        <w:t>)(</w:t>
      </w:r>
      <w:proofErr w:type="gramEnd"/>
      <w:r>
        <w:rPr>
          <w:sz w:val="24"/>
          <w:szCs w:val="24"/>
        </w:rPr>
        <w:t>2).</w:t>
      </w:r>
    </w:p>
    <w:p w:rsidR="004320BB" w:rsidRDefault="004320BB">
      <w:pPr>
        <w:jc w:val="both"/>
        <w:rPr>
          <w:sz w:val="24"/>
          <w:szCs w:val="24"/>
        </w:rPr>
      </w:pPr>
    </w:p>
    <w:p w:rsidR="000D5007" w:rsidRDefault="000D5007">
      <w:pPr>
        <w:jc w:val="both"/>
        <w:rPr>
          <w:sz w:val="24"/>
          <w:szCs w:val="24"/>
        </w:rPr>
      </w:pPr>
    </w:p>
    <w:p w:rsidR="004320BB" w:rsidRDefault="004320BB">
      <w:pPr>
        <w:pStyle w:val="Heading2"/>
      </w:pPr>
      <w:r>
        <w:t>Comments</w:t>
      </w:r>
    </w:p>
    <w:p w:rsidR="004320BB" w:rsidRDefault="004320BB">
      <w:pPr>
        <w:rPr>
          <w:sz w:val="24"/>
          <w:szCs w:val="24"/>
        </w:rPr>
      </w:pPr>
    </w:p>
    <w:p w:rsidR="004320BB" w:rsidRDefault="004320BB">
      <w:pPr>
        <w:jc w:val="both"/>
        <w:rPr>
          <w:sz w:val="24"/>
          <w:szCs w:val="24"/>
        </w:rPr>
      </w:pPr>
      <w:r>
        <w:rPr>
          <w:sz w:val="24"/>
          <w:szCs w:val="24"/>
        </w:rPr>
        <w:tab/>
        <w:t xml:space="preserve">When the provisions of the statute are met, along with the requirement of counsel, the essentials of due process are satisfied even though the juvenile fails to appear.  </w:t>
      </w:r>
      <w:proofErr w:type="gramStart"/>
      <w:r>
        <w:rPr>
          <w:i/>
          <w:iCs/>
          <w:sz w:val="24"/>
          <w:szCs w:val="24"/>
        </w:rPr>
        <w:t>State v. Muhammad</w:t>
      </w:r>
      <w:r>
        <w:rPr>
          <w:sz w:val="24"/>
          <w:szCs w:val="24"/>
        </w:rPr>
        <w:t>, 237 Kan. 850, 703 P.2d 835 (1985).</w:t>
      </w:r>
      <w:proofErr w:type="gramEnd"/>
    </w:p>
    <w:p w:rsidR="004320BB" w:rsidRDefault="004320BB">
      <w:pPr>
        <w:jc w:val="both"/>
      </w:pPr>
      <w:r>
        <w:rPr>
          <w:sz w:val="24"/>
          <w:szCs w:val="24"/>
        </w:rPr>
        <w:tab/>
        <w:t xml:space="preserve">The sufficiency of evidence supporting the determination to try the juvenile as an adult is upheld.  </w:t>
      </w:r>
      <w:proofErr w:type="gramStart"/>
      <w:r>
        <w:rPr>
          <w:i/>
          <w:iCs/>
          <w:sz w:val="24"/>
          <w:szCs w:val="24"/>
        </w:rPr>
        <w:t>State v. Hooks</w:t>
      </w:r>
      <w:r>
        <w:rPr>
          <w:sz w:val="24"/>
          <w:szCs w:val="24"/>
        </w:rPr>
        <w:t>, 251 Kan. 755, 840 P.2d 483 (1992).</w:t>
      </w:r>
      <w:proofErr w:type="gramEnd"/>
    </w:p>
    <w:sectPr w:rsidR="004320B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181"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0A" w:rsidRDefault="0024430A">
      <w:r>
        <w:separator/>
      </w:r>
    </w:p>
  </w:endnote>
  <w:endnote w:type="continuationSeparator" w:id="0">
    <w:p w:rsidR="0024430A" w:rsidRDefault="0024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8" w:rsidRDefault="00CE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CA" w:rsidRDefault="009D1CCA" w:rsidP="009D1CCA">
    <w:pPr>
      <w:pStyle w:val="Footer"/>
      <w:tabs>
        <w:tab w:val="clear" w:pos="4320"/>
        <w:tab w:val="center" w:pos="4680"/>
      </w:tabs>
    </w:pPr>
    <w:r>
      <w:t>Rev. 07/</w:t>
    </w:r>
    <w:proofErr w:type="gramStart"/>
    <w:r>
      <w:t>2016  ©</w:t>
    </w:r>
    <w:proofErr w:type="gramEnd"/>
    <w:r>
      <w:t>KSJC</w:t>
    </w:r>
    <w:r>
      <w:tab/>
    </w:r>
    <w:r>
      <w:fldChar w:fldCharType="begin"/>
    </w:r>
    <w:r>
      <w:instrText xml:space="preserve"> PAGE   \* MERGEFORMAT </w:instrText>
    </w:r>
    <w:r>
      <w:fldChar w:fldCharType="separate"/>
    </w:r>
    <w:r w:rsidR="00C65A9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8" w:rsidRDefault="00CE1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0A" w:rsidRDefault="0024430A">
      <w:r>
        <w:separator/>
      </w:r>
    </w:p>
  </w:footnote>
  <w:footnote w:type="continuationSeparator" w:id="0">
    <w:p w:rsidR="0024430A" w:rsidRDefault="00244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8" w:rsidRDefault="00CE1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BB" w:rsidRDefault="004320BB">
    <w:pPr>
      <w:tabs>
        <w:tab w:val="right" w:pos="9180"/>
      </w:tabs>
      <w:rPr>
        <w:sz w:val="24"/>
        <w:szCs w:val="24"/>
      </w:rPr>
    </w:pPr>
    <w:r>
      <w:rPr>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8" w:rsidRDefault="00CE1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0F"/>
    <w:rsid w:val="000252C4"/>
    <w:rsid w:val="00080139"/>
    <w:rsid w:val="000C0325"/>
    <w:rsid w:val="000D5007"/>
    <w:rsid w:val="001B4CD7"/>
    <w:rsid w:val="0024430A"/>
    <w:rsid w:val="00274C1B"/>
    <w:rsid w:val="002E2F77"/>
    <w:rsid w:val="00423AA4"/>
    <w:rsid w:val="004320BB"/>
    <w:rsid w:val="00433AAE"/>
    <w:rsid w:val="004D6394"/>
    <w:rsid w:val="004E1405"/>
    <w:rsid w:val="00622FA3"/>
    <w:rsid w:val="006562E4"/>
    <w:rsid w:val="006E6C03"/>
    <w:rsid w:val="00734286"/>
    <w:rsid w:val="00753AB0"/>
    <w:rsid w:val="00891D25"/>
    <w:rsid w:val="00897383"/>
    <w:rsid w:val="008A7877"/>
    <w:rsid w:val="008F395A"/>
    <w:rsid w:val="009D1CCA"/>
    <w:rsid w:val="00A4014B"/>
    <w:rsid w:val="00AA7CE1"/>
    <w:rsid w:val="00B26952"/>
    <w:rsid w:val="00C65A93"/>
    <w:rsid w:val="00C73579"/>
    <w:rsid w:val="00C80AE8"/>
    <w:rsid w:val="00CA1D60"/>
    <w:rsid w:val="00CB000F"/>
    <w:rsid w:val="00CB450E"/>
    <w:rsid w:val="00CE1198"/>
    <w:rsid w:val="00CE4F32"/>
    <w:rsid w:val="00D07DF3"/>
    <w:rsid w:val="00D2346F"/>
    <w:rsid w:val="00D55CB2"/>
    <w:rsid w:val="00D73908"/>
    <w:rsid w:val="00DD4803"/>
    <w:rsid w:val="00EE2EE3"/>
    <w:rsid w:val="00F01BF3"/>
    <w:rsid w:val="00F2161B"/>
    <w:rsid w:val="00F36D67"/>
    <w:rsid w:val="00F71864"/>
    <w:rsid w:val="00FC6B4B"/>
    <w:rsid w:val="00FD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2">
    <w:name w:val="heading 2"/>
    <w:basedOn w:val="Normal"/>
    <w:next w:val="Normal"/>
    <w:link w:val="Heading2Char"/>
    <w:uiPriority w:val="99"/>
    <w:qFormat/>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71864"/>
    <w:rPr>
      <w:sz w:val="16"/>
      <w:szCs w:val="16"/>
    </w:rPr>
  </w:style>
  <w:style w:type="paragraph" w:styleId="CommentText">
    <w:name w:val="annotation text"/>
    <w:basedOn w:val="Normal"/>
    <w:link w:val="CommentTextChar"/>
    <w:uiPriority w:val="99"/>
    <w:semiHidden/>
    <w:unhideWhenUsed/>
    <w:rsid w:val="00F71864"/>
  </w:style>
  <w:style w:type="character" w:customStyle="1" w:styleId="CommentTextChar">
    <w:name w:val="Comment Text Char"/>
    <w:basedOn w:val="DefaultParagraphFont"/>
    <w:link w:val="CommentText"/>
    <w:uiPriority w:val="99"/>
    <w:semiHidden/>
    <w:rsid w:val="00F7186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1864"/>
    <w:rPr>
      <w:b/>
      <w:bCs/>
    </w:rPr>
  </w:style>
  <w:style w:type="character" w:customStyle="1" w:styleId="CommentSubjectChar">
    <w:name w:val="Comment Subject Char"/>
    <w:basedOn w:val="CommentTextChar"/>
    <w:link w:val="CommentSubject"/>
    <w:uiPriority w:val="99"/>
    <w:semiHidden/>
    <w:rsid w:val="00F71864"/>
    <w:rPr>
      <w:rFonts w:ascii="Times New Roman" w:hAnsi="Times New Roman"/>
      <w:b/>
      <w:bCs/>
      <w:sz w:val="20"/>
      <w:szCs w:val="20"/>
    </w:rPr>
  </w:style>
  <w:style w:type="paragraph" w:styleId="BalloonText">
    <w:name w:val="Balloon Text"/>
    <w:basedOn w:val="Normal"/>
    <w:link w:val="BalloonTextChar"/>
    <w:uiPriority w:val="99"/>
    <w:semiHidden/>
    <w:unhideWhenUsed/>
    <w:rsid w:val="00F71864"/>
    <w:rPr>
      <w:rFonts w:ascii="Tahoma" w:hAnsi="Tahoma" w:cs="Tahoma"/>
      <w:sz w:val="16"/>
      <w:szCs w:val="16"/>
    </w:rPr>
  </w:style>
  <w:style w:type="character" w:customStyle="1" w:styleId="BalloonTextChar">
    <w:name w:val="Balloon Text Char"/>
    <w:basedOn w:val="DefaultParagraphFont"/>
    <w:link w:val="BalloonText"/>
    <w:uiPriority w:val="99"/>
    <w:semiHidden/>
    <w:rsid w:val="00F71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paragraph" w:styleId="Heading2">
    <w:name w:val="heading 2"/>
    <w:basedOn w:val="Normal"/>
    <w:next w:val="Normal"/>
    <w:link w:val="Heading2Char"/>
    <w:uiPriority w:val="99"/>
    <w:qFormat/>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71864"/>
    <w:rPr>
      <w:sz w:val="16"/>
      <w:szCs w:val="16"/>
    </w:rPr>
  </w:style>
  <w:style w:type="paragraph" w:styleId="CommentText">
    <w:name w:val="annotation text"/>
    <w:basedOn w:val="Normal"/>
    <w:link w:val="CommentTextChar"/>
    <w:uiPriority w:val="99"/>
    <w:semiHidden/>
    <w:unhideWhenUsed/>
    <w:rsid w:val="00F71864"/>
  </w:style>
  <w:style w:type="character" w:customStyle="1" w:styleId="CommentTextChar">
    <w:name w:val="Comment Text Char"/>
    <w:basedOn w:val="DefaultParagraphFont"/>
    <w:link w:val="CommentText"/>
    <w:uiPriority w:val="99"/>
    <w:semiHidden/>
    <w:rsid w:val="00F7186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1864"/>
    <w:rPr>
      <w:b/>
      <w:bCs/>
    </w:rPr>
  </w:style>
  <w:style w:type="character" w:customStyle="1" w:styleId="CommentSubjectChar">
    <w:name w:val="Comment Subject Char"/>
    <w:basedOn w:val="CommentTextChar"/>
    <w:link w:val="CommentSubject"/>
    <w:uiPriority w:val="99"/>
    <w:semiHidden/>
    <w:rsid w:val="00F71864"/>
    <w:rPr>
      <w:rFonts w:ascii="Times New Roman" w:hAnsi="Times New Roman"/>
      <w:b/>
      <w:bCs/>
      <w:sz w:val="20"/>
      <w:szCs w:val="20"/>
    </w:rPr>
  </w:style>
  <w:style w:type="paragraph" w:styleId="BalloonText">
    <w:name w:val="Balloon Text"/>
    <w:basedOn w:val="Normal"/>
    <w:link w:val="BalloonTextChar"/>
    <w:uiPriority w:val="99"/>
    <w:semiHidden/>
    <w:unhideWhenUsed/>
    <w:rsid w:val="00F71864"/>
    <w:rPr>
      <w:rFonts w:ascii="Tahoma" w:hAnsi="Tahoma" w:cs="Tahoma"/>
      <w:sz w:val="16"/>
      <w:szCs w:val="16"/>
    </w:rPr>
  </w:style>
  <w:style w:type="character" w:customStyle="1" w:styleId="BalloonTextChar">
    <w:name w:val="Balloon Text Char"/>
    <w:basedOn w:val="DefaultParagraphFont"/>
    <w:link w:val="BalloonText"/>
    <w:uiPriority w:val="99"/>
    <w:semiHidden/>
    <w:rsid w:val="00F71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2042">
      <w:marLeft w:val="0"/>
      <w:marRight w:val="0"/>
      <w:marTop w:val="0"/>
      <w:marBottom w:val="0"/>
      <w:divBdr>
        <w:top w:val="none" w:sz="0" w:space="0" w:color="auto"/>
        <w:left w:val="none" w:sz="0" w:space="0" w:color="auto"/>
        <w:bottom w:val="none" w:sz="0" w:space="0" w:color="auto"/>
        <w:right w:val="none" w:sz="0" w:space="0" w:color="auto"/>
      </w:divBdr>
    </w:div>
    <w:div w:id="11854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2012-12-04T20:27:00Z</cp:lastPrinted>
  <dcterms:created xsi:type="dcterms:W3CDTF">2016-12-29T17:31:00Z</dcterms:created>
  <dcterms:modified xsi:type="dcterms:W3CDTF">2016-12-29T17:31:00Z</dcterms:modified>
</cp:coreProperties>
</file>